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C19" w:rsidRP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E5C19">
        <w:rPr>
          <w:rFonts w:ascii="Times New Roman" w:hAnsi="Times New Roman" w:cs="Times New Roman"/>
          <w:b/>
          <w:sz w:val="28"/>
          <w:szCs w:val="28"/>
          <w:u w:val="single"/>
        </w:rPr>
        <w:t>Компенсация реактивной мощности.</w:t>
      </w:r>
    </w:p>
    <w:p w:rsidR="002C6DD4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Физическая сущность реактивной мощности, понятие о генерации, потреблении и балансе реактивной мощности, изучение способов компенсации реактивной мощности, источников реактивной мощности: синхронных двигателей (СД) и компенсаторов (СК), статические конденсаторов</w:t>
      </w:r>
    </w:p>
    <w:p w:rsid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Компенс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E5C19">
        <w:rPr>
          <w:rFonts w:ascii="Times New Roman" w:hAnsi="Times New Roman" w:cs="Times New Roman"/>
          <w:sz w:val="28"/>
          <w:szCs w:val="28"/>
        </w:rPr>
        <w:t>ция реакт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5E5C19">
        <w:rPr>
          <w:rFonts w:ascii="Times New Roman" w:hAnsi="Times New Roman" w:cs="Times New Roman"/>
          <w:sz w:val="28"/>
          <w:szCs w:val="28"/>
        </w:rPr>
        <w:t>вной м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5E5C19">
        <w:rPr>
          <w:rFonts w:ascii="Times New Roman" w:hAnsi="Times New Roman" w:cs="Times New Roman"/>
          <w:sz w:val="28"/>
          <w:szCs w:val="28"/>
        </w:rPr>
        <w:t>щности — целенаправленное воздействие на баланс реактивной мощности в узле электроэнергетической системы с целью регулирования напряжения, а в распределительных сетях и с целью с</w:t>
      </w:r>
      <w:r>
        <w:rPr>
          <w:rFonts w:ascii="Times New Roman" w:hAnsi="Times New Roman" w:cs="Times New Roman"/>
          <w:sz w:val="28"/>
          <w:szCs w:val="28"/>
        </w:rPr>
        <w:t>нижения потерь электроэнергии</w:t>
      </w:r>
      <w:r w:rsidRPr="005E5C19">
        <w:rPr>
          <w:rFonts w:ascii="Times New Roman" w:hAnsi="Times New Roman" w:cs="Times New Roman"/>
          <w:sz w:val="28"/>
          <w:szCs w:val="28"/>
        </w:rPr>
        <w:t>. Осуществляется с использованием компенсирующих устройств. Для поддержания требуемых уровней напряжения в узлах электрической сети потребление реактивной мощности должно обеспечиваться требуемой генерируемой мощностью с учетом необходимого резерва. Генерируемая реактивная мощность складывается из реактивной мощности, вырабатываемой генераторами электростанций и реактивной мощности компенсирующих устройств, размещенных в электрической сети и в электроустановках потребителей электрической энергии.</w:t>
      </w:r>
    </w:p>
    <w:p w:rsidR="005E5C19" w:rsidRP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 xml:space="preserve">Компенсация реактивной мощности особенно актуальна для промышленных предприятий, основными 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электроприёмниками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 которых являются асинхронные двигатели, в результате чего коэффициент мощности без принятия мер по компенсации составляет 0,7— 0,75. Мероприятия по компенсации реактивной мощности на предприятии позволяют:</w:t>
      </w:r>
    </w:p>
    <w:p w:rsidR="005E5C19" w:rsidRPr="005E5C19" w:rsidRDefault="005E5C19" w:rsidP="005E5C1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уменьшить нагрузку на трансформаторы, увеличить срок их службы,</w:t>
      </w:r>
    </w:p>
    <w:p w:rsidR="005E5C19" w:rsidRPr="005E5C19" w:rsidRDefault="005E5C19" w:rsidP="005E5C1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использовать провода, кабели меньшего сечения за счет уменьшения нагрузки на них,</w:t>
      </w:r>
    </w:p>
    <w:p w:rsidR="005E5C19" w:rsidRPr="005E5C19" w:rsidRDefault="005E5C19" w:rsidP="005E5C1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 xml:space="preserve">улучшить качество электроэнергии у 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 (за счёт уменьшения искажения формы напряжения),</w:t>
      </w:r>
    </w:p>
    <w:p w:rsidR="005E5C19" w:rsidRPr="005E5C19" w:rsidRDefault="005E5C19" w:rsidP="005E5C1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уменьшить нагрузку на коммутационную аппаратуру за счет снижения токов в цепях,</w:t>
      </w:r>
    </w:p>
    <w:p w:rsidR="005E5C19" w:rsidRPr="005E5C19" w:rsidRDefault="005E5C19" w:rsidP="005E5C1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избежать штрафов за снижение качества электроэнергии пониженным коэффициентом мощности,</w:t>
      </w:r>
    </w:p>
    <w:p w:rsidR="005E5C19" w:rsidRDefault="005E5C19" w:rsidP="005E5C1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снизить расходы на электроэнергию.</w:t>
      </w:r>
    </w:p>
    <w:p w:rsidR="005E5C19" w:rsidRP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 xml:space="preserve">Переменный ток идет по проводу в обе стороны, в идеале нагрузка должна полностью усвоить и переработать полученную энергию. При рассогласованиях между генератором и потребителем происходит одновременное протекание токов от генератора к нагрузке и от нагрузки к генератору (нагрузка возвращает запасенную ранее энергию). Такие условия возможны только для переменного тока при наличии в цепи любого реактивного элемента, имеющего собственную индуктивность или ёмкость. Индуктивный реактивный элемент стремится сохранить неизменным протекающий через него ток, а ёмкостный — напряжение. Через идеальные резистивные и индуктивные элементы протекает максимальный ток при </w:t>
      </w:r>
      <w:r w:rsidRPr="005E5C19">
        <w:rPr>
          <w:rFonts w:ascii="Times New Roman" w:hAnsi="Times New Roman" w:cs="Times New Roman"/>
          <w:sz w:val="28"/>
          <w:szCs w:val="28"/>
        </w:rPr>
        <w:lastRenderedPageBreak/>
        <w:t>нулевом напряжении на элементе и, наоборот, максимальное напряжение оказывается приложенным к элементам, имеющим ёмкостной характер, при токе, протекающем через них, близком к нулю.</w:t>
      </w:r>
    </w:p>
    <w:p w:rsidR="005E5C19" w:rsidRP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Значительную часть электрооборудования любого предприятия составляют устройства, обязательным условием нормальной работы которых является создание в них магнитных полей, а именно: трансформаторы, асинхронные двигатели, индукционные печи и прочие устройства, которые можно обобщенно охарактеризовать как «индуктивная нагрузка». Гораздо реже применяются устройства, запасающие энергию, которые можно обобщенно считать ёмкостной нагрузкой.</w:t>
      </w:r>
    </w:p>
    <w:p w:rsidR="005E5C19" w:rsidRP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 xml:space="preserve">Поскольку одной из особенностей индуктивности является свойство сохранять неизменным ток, протекающий через неё, то при протекании тока нагрузки появляется фазовый сдвиг между током и напряжением (ток «отстает» от напряжения на фазовый угол). Разные знаки у тока и напряжения на период фазового сдвига, как следствие, приводят к снижению энергии электромагнитных полей индуктивностей, которая восполняется из сети. Для большинства промышленных потребителей это означает следующее: по сетям между источником электроэнергии и потребителем, кроме совершающей полезную работу активной энергии, также протекает реактивная энергия, не совершающая полезной работы. Активная и реактивная энергии составляют полную энергию, при этом доля активной энергии по отношению к полной определяется косинусом угла сдвига фаз между током и напряжением — 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cosφ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. Однако, протекая по кабелям и обмоткам в обратную сторону, реактивный ток снижает в пределах их пропускной способности долю протекающего по ним активного тока, вызывая при этом значительные дополнительные потери в проводниках на нагрев — активные потери. В случае, когда 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cosφ</w:t>
      </w:r>
      <w:proofErr w:type="spellEnd"/>
      <w:r w:rsidRPr="005E5C19">
        <w:rPr>
          <w:rFonts w:ascii="Cambria Math" w:hAnsi="Cambria Math" w:cs="Cambria Math"/>
          <w:sz w:val="28"/>
          <w:szCs w:val="28"/>
        </w:rPr>
        <w:t> </w:t>
      </w:r>
      <w:r w:rsidRPr="005E5C19">
        <w:rPr>
          <w:rFonts w:ascii="Times New Roman" w:hAnsi="Times New Roman" w:cs="Times New Roman"/>
          <w:sz w:val="28"/>
          <w:szCs w:val="28"/>
        </w:rPr>
        <w:t>=</w:t>
      </w:r>
      <w:r w:rsidRPr="005E5C19">
        <w:rPr>
          <w:rFonts w:ascii="Cambria Math" w:hAnsi="Cambria Math" w:cs="Cambria Math"/>
          <w:sz w:val="28"/>
          <w:szCs w:val="28"/>
        </w:rPr>
        <w:t> </w:t>
      </w:r>
      <w:r w:rsidRPr="005E5C19">
        <w:rPr>
          <w:rFonts w:ascii="Times New Roman" w:hAnsi="Times New Roman" w:cs="Times New Roman"/>
          <w:sz w:val="28"/>
          <w:szCs w:val="28"/>
        </w:rPr>
        <w:t xml:space="preserve">1, вся энергия дойдет до потребителя. В случае 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cosφ</w:t>
      </w:r>
      <w:proofErr w:type="spellEnd"/>
      <w:r w:rsidRPr="005E5C19">
        <w:rPr>
          <w:rFonts w:ascii="Cambria Math" w:hAnsi="Cambria Math" w:cs="Cambria Math"/>
          <w:sz w:val="28"/>
          <w:szCs w:val="28"/>
        </w:rPr>
        <w:t> </w:t>
      </w:r>
      <w:r w:rsidRPr="005E5C19">
        <w:rPr>
          <w:rFonts w:ascii="Times New Roman" w:hAnsi="Times New Roman" w:cs="Times New Roman"/>
          <w:sz w:val="28"/>
          <w:szCs w:val="28"/>
        </w:rPr>
        <w:t>=</w:t>
      </w:r>
      <w:r w:rsidRPr="005E5C19">
        <w:rPr>
          <w:rFonts w:ascii="Cambria Math" w:hAnsi="Cambria Math" w:cs="Cambria Math"/>
          <w:sz w:val="28"/>
          <w:szCs w:val="28"/>
        </w:rPr>
        <w:t> </w:t>
      </w:r>
      <w:r w:rsidRPr="005E5C19">
        <w:rPr>
          <w:rFonts w:ascii="Times New Roman" w:hAnsi="Times New Roman" w:cs="Times New Roman"/>
          <w:sz w:val="28"/>
          <w:szCs w:val="28"/>
        </w:rPr>
        <w:t>0 ток в проводе возрастет вдвое, поскольку одинаковый по величине ток будет протекать в обоих направлениях одновременно. В этом режиме активная мощность нагрузкой не потребляется, за исключением нагрева проводников.</w:t>
      </w:r>
    </w:p>
    <w:p w:rsid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Таким образом, нагрузка принимает и отдает в сеть практически всю энергию, при этом возникает ситуация, в которой потребитель вынужден оплачивать энергию, которая не была использована фактически. В противоположность индуктивным элементам, ёмкостные элементы (например, конденсаторы) стремятся сохранять неизменным напряжение на своих зажимах, то есть для них ток «опережает» напряжение. Поскольку величина потребляемой электроэнергии никогда не является постоянной и может меняться в существенном диапазоне за достаточно малый промежуток времени, то, соответственно, может изменяться и соотношение активной потребляемой энергии к полной (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cosφ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). При этом чем меньше активная нагрузка потребителя, тем меньше значение 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cosφ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. Из этого следует, что для компенсации реактивной мощности необходимо оборудование (см. статью Компенсирующие устройства), обеспечивающее регулирование 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cosφ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 в зависимости от изменяющихся условий работы оборудования. Плавное регулирование 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cosφ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 обеспечивают синхронные двигатели и синхронные </w:t>
      </w:r>
      <w:r w:rsidRPr="005E5C19">
        <w:rPr>
          <w:rFonts w:ascii="Times New Roman" w:hAnsi="Times New Roman" w:cs="Times New Roman"/>
          <w:sz w:val="28"/>
          <w:szCs w:val="28"/>
        </w:rPr>
        <w:lastRenderedPageBreak/>
        <w:t>компенсаторы, ступенчатое — установки компенсации реактивной мощности (УКРМ), состоящие, как правило, из батарей ёмкостных элементов (конденсаторов), коммутационного оборудования и устройств управления. Принцип работы УКРМ заключается в подключении к сети необходимого в данный момент времени количества конденсаторов для известного мгновенного значения реактивной мощности.</w:t>
      </w:r>
    </w:p>
    <w:p w:rsid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Основные компоненты КРМ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E5C19" w:rsidRP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E5C19">
        <w:rPr>
          <w:rFonts w:ascii="Times New Roman" w:hAnsi="Times New Roman" w:cs="Times New Roman"/>
          <w:sz w:val="28"/>
          <w:szCs w:val="28"/>
        </w:rPr>
        <w:t>Источники реактивной мощности</w:t>
      </w:r>
    </w:p>
    <w:p w:rsidR="005E5C19" w:rsidRPr="005E5C19" w:rsidRDefault="005E5C19" w:rsidP="005E5C1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Используются конденсаторы, если реактивная мощность индуктивного характера</w:t>
      </w:r>
    </w:p>
    <w:p w:rsidR="005E5C19" w:rsidRPr="005E5C19" w:rsidRDefault="005E5C19" w:rsidP="005E5C1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Используются катушки индуктивности (реакторы), если реактивная мощность ёмкостного характера (используются для компенсации на ЛЭП);</w:t>
      </w:r>
    </w:p>
    <w:p w:rsidR="005E5C19" w:rsidRP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E5C19">
        <w:rPr>
          <w:rFonts w:ascii="Times New Roman" w:hAnsi="Times New Roman" w:cs="Times New Roman"/>
          <w:sz w:val="28"/>
          <w:szCs w:val="28"/>
        </w:rPr>
        <w:t xml:space="preserve">Регулятор реактивной мощности — устройство, измеряющее и поддерживающее величину 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cosφ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 на заданном оптимальном уровне путём выдачи команд на исполнительные устройства без участия персонала. В составе регулятора имеется процессор контролирующий напряжение, уровень гармоник, температуру, состояние конденсаторов и обеспечивающий аварийное отключение в критических случаях;</w:t>
      </w:r>
    </w:p>
    <w:p w:rsidR="005E5C19" w:rsidRP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E5C19">
        <w:rPr>
          <w:rFonts w:ascii="Times New Roman" w:hAnsi="Times New Roman" w:cs="Times New Roman"/>
          <w:sz w:val="28"/>
          <w:szCs w:val="28"/>
        </w:rPr>
        <w:t>Коммутационные устройства, подключающие и отключающие источники реактивной мощности в необходимом количестве в зависимости от команд регулятора. В зависимости от технических требований, используются различные коммутационные устройства:</w:t>
      </w:r>
    </w:p>
    <w:p w:rsidR="005E5C19" w:rsidRPr="005E5C19" w:rsidRDefault="005E5C19" w:rsidP="005E5C1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>Конденсаторные электромагнитные контакторы- статическая компенсация.</w:t>
      </w:r>
    </w:p>
    <w:p w:rsidR="005E5C19" w:rsidRPr="005E5C19" w:rsidRDefault="005E5C19" w:rsidP="005E5C1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5C19">
        <w:rPr>
          <w:rFonts w:ascii="Times New Roman" w:hAnsi="Times New Roman" w:cs="Times New Roman"/>
          <w:sz w:val="28"/>
          <w:szCs w:val="28"/>
        </w:rPr>
        <w:t>Тирикон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 (комбинированный 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электронно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 механический контактор) — динамическая компенсация</w:t>
      </w:r>
    </w:p>
    <w:p w:rsidR="005E5C19" w:rsidRPr="005E5C19" w:rsidRDefault="005E5C19" w:rsidP="005E5C1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5C19">
        <w:rPr>
          <w:rFonts w:ascii="Times New Roman" w:hAnsi="Times New Roman" w:cs="Times New Roman"/>
          <w:sz w:val="28"/>
          <w:szCs w:val="28"/>
        </w:rPr>
        <w:t>Тиристорный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 контактор — динамическая компенсация</w:t>
      </w:r>
    </w:p>
    <w:p w:rsidR="005E5C19" w:rsidRPr="005E5C19" w:rsidRDefault="005E5C19" w:rsidP="005E5C1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5C19">
        <w:rPr>
          <w:rFonts w:ascii="Times New Roman" w:hAnsi="Times New Roman" w:cs="Times New Roman"/>
          <w:sz w:val="28"/>
          <w:szCs w:val="28"/>
        </w:rPr>
        <w:t xml:space="preserve">Вакуумные контакторы — </w:t>
      </w:r>
      <w:proofErr w:type="gramStart"/>
      <w:r w:rsidRPr="005E5C19">
        <w:rPr>
          <w:rFonts w:ascii="Times New Roman" w:hAnsi="Times New Roman" w:cs="Times New Roman"/>
          <w:sz w:val="28"/>
          <w:szCs w:val="28"/>
        </w:rPr>
        <w:t>напряжение &gt;</w:t>
      </w:r>
      <w:proofErr w:type="gramEnd"/>
      <w:r w:rsidRPr="005E5C19">
        <w:rPr>
          <w:rFonts w:ascii="Times New Roman" w:hAnsi="Times New Roman" w:cs="Times New Roman"/>
          <w:sz w:val="28"/>
          <w:szCs w:val="28"/>
        </w:rPr>
        <w:t xml:space="preserve"> 1кВ</w:t>
      </w:r>
    </w:p>
    <w:p w:rsidR="005E5C19" w:rsidRP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E5C19">
        <w:rPr>
          <w:rFonts w:ascii="Times New Roman" w:hAnsi="Times New Roman" w:cs="Times New Roman"/>
          <w:sz w:val="28"/>
          <w:szCs w:val="28"/>
        </w:rPr>
        <w:t>Антирезонансные</w:t>
      </w:r>
      <w:proofErr w:type="spellEnd"/>
      <w:r w:rsidRPr="005E5C19">
        <w:rPr>
          <w:rFonts w:ascii="Times New Roman" w:hAnsi="Times New Roman" w:cs="Times New Roman"/>
          <w:sz w:val="28"/>
          <w:szCs w:val="28"/>
        </w:rPr>
        <w:t xml:space="preserve"> дроссели — используются при повышенном уровне гармоник.</w:t>
      </w:r>
    </w:p>
    <w:p w:rsidR="005E5C19" w:rsidRDefault="005E5C19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E5C19">
        <w:rPr>
          <w:rFonts w:ascii="Times New Roman" w:hAnsi="Times New Roman" w:cs="Times New Roman"/>
          <w:sz w:val="28"/>
          <w:szCs w:val="28"/>
        </w:rPr>
        <w:t>Защитные устройства</w:t>
      </w:r>
      <w:proofErr w:type="gramEnd"/>
      <w:r w:rsidRPr="005E5C19">
        <w:rPr>
          <w:rFonts w:ascii="Times New Roman" w:hAnsi="Times New Roman" w:cs="Times New Roman"/>
          <w:sz w:val="28"/>
          <w:szCs w:val="28"/>
        </w:rPr>
        <w:t xml:space="preserve"> обеспечивающие отключение всей устан</w:t>
      </w:r>
      <w:r>
        <w:rPr>
          <w:rFonts w:ascii="Times New Roman" w:hAnsi="Times New Roman" w:cs="Times New Roman"/>
          <w:sz w:val="28"/>
          <w:szCs w:val="28"/>
        </w:rPr>
        <w:t>овки или группы конденсаторов</w:t>
      </w:r>
      <w:r w:rsidRPr="005E5C19">
        <w:rPr>
          <w:rFonts w:ascii="Times New Roman" w:hAnsi="Times New Roman" w:cs="Times New Roman"/>
          <w:sz w:val="28"/>
          <w:szCs w:val="28"/>
        </w:rPr>
        <w:t>.</w:t>
      </w:r>
    </w:p>
    <w:p w:rsidR="009431A8" w:rsidRPr="009431A8" w:rsidRDefault="009431A8" w:rsidP="009431A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bCs/>
          <w:color w:val="0C0C0C"/>
          <w:sz w:val="28"/>
          <w:szCs w:val="28"/>
          <w:lang w:eastAsia="ru-RU"/>
        </w:rPr>
        <w:t>Реактивная мощность и энергия ухудшают показатели работы энергосистемы</w:t>
      </w: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, то есть загрузка реактивными токами генераторов электростанций увеличивает расход топлива; увеличиваются потери в подводящих сетях и приемниках; увеличивается падение напряжения в сетях.</w:t>
      </w:r>
    </w:p>
    <w:p w:rsidR="009431A8" w:rsidRPr="009431A8" w:rsidRDefault="009431A8" w:rsidP="009431A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bCs/>
          <w:color w:val="0C0C0C"/>
          <w:sz w:val="28"/>
          <w:szCs w:val="28"/>
          <w:lang w:eastAsia="ru-RU"/>
        </w:rPr>
        <w:t>Реактивный ток дополнительно нагружает линии электропередачи</w:t>
      </w: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, что приводит к увеличению сечений проводов и кабелей и соответственно к увеличению капитальных затрат на внешние и внутриплощадочные сети.</w:t>
      </w:r>
    </w:p>
    <w:p w:rsidR="009431A8" w:rsidRPr="009431A8" w:rsidRDefault="009431A8" w:rsidP="009431A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bCs/>
          <w:color w:val="0C0C0C"/>
          <w:sz w:val="28"/>
          <w:szCs w:val="28"/>
          <w:lang w:eastAsia="ru-RU"/>
        </w:rPr>
        <w:t>Компенсация реактивной мощности (КРМ)</w:t>
      </w: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 xml:space="preserve">, в настоящее время, является </w:t>
      </w:r>
      <w:proofErr w:type="gramStart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немаловажным фактором</w:t>
      </w:r>
      <w:proofErr w:type="gramEnd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 xml:space="preserve"> позволяющим решить вопрос энергосбережения практически на любом предприятии.</w:t>
      </w:r>
    </w:p>
    <w:p w:rsidR="009431A8" w:rsidRPr="009431A8" w:rsidRDefault="009431A8" w:rsidP="009431A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lastRenderedPageBreak/>
        <w:t>По оценкам отечественных и ведущих зарубежных специалистов, доля энергоресурсов, и в частности электроэнергии занимает величину порядка 30-40% в стоимости продукции. Это достаточно веский аргумент, чтобы руководителю со всей серьезностью подойти к анализу и аудиту энергопотребления и выработке методики компенсации реактивной мощности. </w:t>
      </w:r>
      <w:r w:rsidRPr="009431A8">
        <w:rPr>
          <w:rFonts w:ascii="Times New Roman" w:eastAsia="Times New Roman" w:hAnsi="Times New Roman" w:cs="Times New Roman"/>
          <w:bCs/>
          <w:color w:val="0C0C0C"/>
          <w:sz w:val="28"/>
          <w:szCs w:val="28"/>
          <w:lang w:eastAsia="ru-RU"/>
        </w:rPr>
        <w:t>КРМ</w:t>
      </w: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 – вот ключ к решению вопроса энергосбережения.</w:t>
      </w:r>
    </w:p>
    <w:p w:rsidR="009431A8" w:rsidRPr="009431A8" w:rsidRDefault="009431A8" w:rsidP="009431A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C0C0C"/>
          <w:sz w:val="23"/>
          <w:szCs w:val="23"/>
          <w:lang w:eastAsia="ru-RU"/>
        </w:rPr>
      </w:pPr>
      <w:r w:rsidRPr="009431A8">
        <w:rPr>
          <w:rFonts w:ascii="Arial" w:eastAsia="Times New Roman" w:hAnsi="Arial" w:cs="Arial"/>
          <w:noProof/>
          <w:color w:val="0C0C0C"/>
          <w:sz w:val="23"/>
          <w:szCs w:val="23"/>
          <w:lang w:eastAsia="ru-RU"/>
        </w:rPr>
        <w:drawing>
          <wp:inline distT="0" distB="0" distL="0" distR="0" wp14:anchorId="1300C813" wp14:editId="415A7FF1">
            <wp:extent cx="5880100" cy="2211705"/>
            <wp:effectExtent l="0" t="0" r="6350" b="0"/>
            <wp:docPr id="2" name="Рисунок 2" descr="Принцип КР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инцип КРМ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0" cy="221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1A8">
        <w:rPr>
          <w:rFonts w:ascii="Arial" w:eastAsia="Times New Roman" w:hAnsi="Arial" w:cs="Arial"/>
          <w:color w:val="0C0C0C"/>
          <w:sz w:val="23"/>
          <w:szCs w:val="23"/>
          <w:lang w:eastAsia="ru-RU"/>
        </w:rPr>
        <w:br/>
      </w:r>
      <w:r w:rsidRPr="009431A8">
        <w:rPr>
          <w:rFonts w:ascii="Arial" w:eastAsia="Times New Roman" w:hAnsi="Arial" w:cs="Arial"/>
          <w:i/>
          <w:iCs/>
          <w:color w:val="0C0C0C"/>
          <w:sz w:val="23"/>
          <w:szCs w:val="23"/>
          <w:lang w:eastAsia="ru-RU"/>
        </w:rPr>
        <w:t>Принцип КРМ</w:t>
      </w:r>
    </w:p>
    <w:p w:rsidR="009431A8" w:rsidRPr="009431A8" w:rsidRDefault="009431A8" w:rsidP="009431A8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bookmarkStart w:id="0" w:name="_GoBack"/>
      <w:r w:rsidRPr="009431A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Основные потребители реактивной мощности</w:t>
      </w:r>
    </w:p>
    <w:p w:rsidR="009431A8" w:rsidRPr="009431A8" w:rsidRDefault="009431A8" w:rsidP="009431A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— асинхронные электродвигатели, которые потребляют 40 % всей мощности совместно с бытовыми и собственными нуждами; электрические печи 8 %; преобразователи 10 %; трансформаторы всех ступеней трансформации 35 %; линии электропередач 7 %.</w:t>
      </w:r>
    </w:p>
    <w:p w:rsidR="009431A8" w:rsidRPr="009431A8" w:rsidRDefault="009431A8" w:rsidP="009431A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 xml:space="preserve">В электрических машинах переменный магнитный поток связан с обмотками. Вследствие этого в обмотках при протекании переменного тока индуктируются реактивные </w:t>
      </w:r>
      <w:proofErr w:type="spellStart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э.д.с</w:t>
      </w:r>
      <w:proofErr w:type="spellEnd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. обуславливающие сдвиг по фазе(</w:t>
      </w:r>
      <w:proofErr w:type="spellStart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fi</w:t>
      </w:r>
      <w:proofErr w:type="spellEnd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) между напряжением и током. Этот сдвиг по фазе обычно увеличивается, а косинус фи уменьшается при малой нагрузке. Например, если косинус фи двигателей переменного тока при полной нагрузке составляет 0,75-0,80, то при малой нагрузке он уменьшится до 0,20-0,40.</w:t>
      </w:r>
    </w:p>
    <w:p w:rsidR="009431A8" w:rsidRPr="009431A8" w:rsidRDefault="009431A8" w:rsidP="009431A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 xml:space="preserve">Малонагруженные трансформаторы также имеют низкий коэффициент мощности (косинус фи). Поэтому, применять компенсацию реактивной мощности, то результирующий косинус фи энергетической системы будет низок и ток нагрузки электрической, без компенсации реактивной мощности, будет увеличиваться при одной и той же потребляемой из сети активной мощности. Соответственно при компенсации реактивной </w:t>
      </w:r>
      <w:proofErr w:type="gramStart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мощности(</w:t>
      </w:r>
      <w:proofErr w:type="gramEnd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применении автоматических конденсаторных установок КРМ) ток потребляемый из сети снижается, в зависимости от косинус фи на 30-50%, соответственно уменьшается нагрев проводящих проводов и старение изоляции.</w:t>
      </w:r>
    </w:p>
    <w:p w:rsidR="009431A8" w:rsidRPr="009431A8" w:rsidRDefault="009431A8" w:rsidP="009431A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Кроме этого, </w:t>
      </w:r>
      <w:r w:rsidRPr="009431A8">
        <w:rPr>
          <w:rFonts w:ascii="Times New Roman" w:eastAsia="Times New Roman" w:hAnsi="Times New Roman" w:cs="Times New Roman"/>
          <w:bCs/>
          <w:color w:val="0C0C0C"/>
          <w:sz w:val="28"/>
          <w:szCs w:val="28"/>
          <w:lang w:eastAsia="ru-RU"/>
        </w:rPr>
        <w:t>реактивная мощность наряду с активной мощностью учитывается поставщиком электроэнергии</w:t>
      </w: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 xml:space="preserve">, </w:t>
      </w:r>
      <w:proofErr w:type="gramStart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а следовательно</w:t>
      </w:r>
      <w:proofErr w:type="gramEnd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, подлежит оплате по действующим тарифам, поэтому составляет значительную часть счета за электроэнергию.</w:t>
      </w:r>
    </w:p>
    <w:p w:rsidR="009431A8" w:rsidRPr="009431A8" w:rsidRDefault="009431A8" w:rsidP="009431A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lastRenderedPageBreak/>
        <w:t xml:space="preserve">Наиболее действенным и эффективным способом снижения потребляемой из сети реактивной мощности является применение установок компенсации реактивной </w:t>
      </w:r>
      <w:proofErr w:type="gramStart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мощности(</w:t>
      </w:r>
      <w:proofErr w:type="gramEnd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конденсаторных установок).</w:t>
      </w:r>
    </w:p>
    <w:p w:rsidR="009431A8" w:rsidRPr="009431A8" w:rsidRDefault="009431A8" w:rsidP="009431A8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Использование конденсаторных установок для компенсации реактивной мощности (КРМ) позволяет:</w:t>
      </w:r>
    </w:p>
    <w:p w:rsidR="009431A8" w:rsidRPr="009431A8" w:rsidRDefault="009431A8" w:rsidP="009431A8">
      <w:pPr>
        <w:numPr>
          <w:ilvl w:val="0"/>
          <w:numId w:val="5"/>
        </w:numPr>
        <w:shd w:val="clear" w:color="auto" w:fill="FFFFFF"/>
        <w:spacing w:after="0" w:line="240" w:lineRule="auto"/>
        <w:ind w:left="300"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разгрузить питающие линии электропередачи, трансформаторы и распределительные устройства;</w:t>
      </w:r>
    </w:p>
    <w:p w:rsidR="009431A8" w:rsidRPr="009431A8" w:rsidRDefault="009431A8" w:rsidP="009431A8">
      <w:pPr>
        <w:numPr>
          <w:ilvl w:val="0"/>
          <w:numId w:val="5"/>
        </w:numPr>
        <w:shd w:val="clear" w:color="auto" w:fill="FFFFFF"/>
        <w:spacing w:after="0" w:line="240" w:lineRule="auto"/>
        <w:ind w:left="300"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снизить расходы на оплату электроэнергии;</w:t>
      </w:r>
    </w:p>
    <w:p w:rsidR="009431A8" w:rsidRPr="009431A8" w:rsidRDefault="009431A8" w:rsidP="009431A8">
      <w:pPr>
        <w:numPr>
          <w:ilvl w:val="0"/>
          <w:numId w:val="5"/>
        </w:numPr>
        <w:shd w:val="clear" w:color="auto" w:fill="FFFFFF"/>
        <w:spacing w:after="0" w:line="240" w:lineRule="auto"/>
        <w:ind w:left="300"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при использовании определенного типа установок снизить уровень высших гармоник;</w:t>
      </w:r>
    </w:p>
    <w:p w:rsidR="009431A8" w:rsidRPr="009431A8" w:rsidRDefault="009431A8" w:rsidP="009431A8">
      <w:pPr>
        <w:numPr>
          <w:ilvl w:val="0"/>
          <w:numId w:val="5"/>
        </w:numPr>
        <w:shd w:val="clear" w:color="auto" w:fill="FFFFFF"/>
        <w:spacing w:after="0" w:line="240" w:lineRule="auto"/>
        <w:ind w:left="300"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 xml:space="preserve">подавить сетевые помехи, снизить </w:t>
      </w:r>
      <w:proofErr w:type="spellStart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несимметрию</w:t>
      </w:r>
      <w:proofErr w:type="spellEnd"/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 xml:space="preserve"> фаз;</w:t>
      </w:r>
    </w:p>
    <w:p w:rsidR="009431A8" w:rsidRPr="009431A8" w:rsidRDefault="009431A8" w:rsidP="009431A8">
      <w:pPr>
        <w:numPr>
          <w:ilvl w:val="0"/>
          <w:numId w:val="5"/>
        </w:numPr>
        <w:shd w:val="clear" w:color="auto" w:fill="FFFFFF"/>
        <w:spacing w:after="0" w:line="240" w:lineRule="auto"/>
        <w:ind w:left="300" w:firstLine="709"/>
        <w:jc w:val="both"/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</w:pPr>
      <w:r w:rsidRPr="009431A8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сделать распределительные сети более надежными и экономичными.</w:t>
      </w:r>
    </w:p>
    <w:bookmarkEnd w:id="0"/>
    <w:p w:rsidR="009431A8" w:rsidRPr="009431A8" w:rsidRDefault="009431A8" w:rsidP="009431A8">
      <w:pPr>
        <w:shd w:val="clear" w:color="auto" w:fill="FFFFFF"/>
        <w:spacing w:line="240" w:lineRule="atLeast"/>
        <w:rPr>
          <w:rFonts w:ascii="Arial" w:eastAsia="Times New Roman" w:hAnsi="Arial" w:cs="Arial"/>
          <w:color w:val="0C0C0C"/>
          <w:sz w:val="20"/>
          <w:szCs w:val="20"/>
          <w:lang w:eastAsia="ru-RU"/>
        </w:rPr>
      </w:pPr>
      <w:r w:rsidRPr="009431A8">
        <w:rPr>
          <w:rFonts w:ascii="Arial" w:eastAsia="Times New Roman" w:hAnsi="Arial" w:cs="Arial"/>
          <w:color w:val="0C0C0C"/>
          <w:sz w:val="20"/>
          <w:szCs w:val="20"/>
          <w:lang w:eastAsia="ru-RU"/>
        </w:rPr>
        <w:fldChar w:fldCharType="begin"/>
      </w:r>
      <w:r w:rsidRPr="009431A8">
        <w:rPr>
          <w:rFonts w:ascii="Arial" w:eastAsia="Times New Roman" w:hAnsi="Arial" w:cs="Arial"/>
          <w:color w:val="0C0C0C"/>
          <w:sz w:val="20"/>
          <w:szCs w:val="20"/>
          <w:lang w:eastAsia="ru-RU"/>
        </w:rPr>
        <w:instrText xml:space="preserve"> HYPERLINK "http://kvar.su/2011/10/25/" \o "09:12" </w:instrText>
      </w:r>
      <w:r w:rsidRPr="009431A8">
        <w:rPr>
          <w:rFonts w:ascii="Arial" w:eastAsia="Times New Roman" w:hAnsi="Arial" w:cs="Arial"/>
          <w:color w:val="0C0C0C"/>
          <w:sz w:val="20"/>
          <w:szCs w:val="20"/>
          <w:lang w:eastAsia="ru-RU"/>
        </w:rPr>
        <w:fldChar w:fldCharType="separate"/>
      </w:r>
      <w:r w:rsidRPr="009431A8">
        <w:rPr>
          <w:rFonts w:ascii="Arial" w:eastAsia="Times New Roman" w:hAnsi="Arial" w:cs="Arial"/>
          <w:color w:val="EDEDED"/>
          <w:sz w:val="20"/>
          <w:szCs w:val="20"/>
          <w:u w:val="single"/>
          <w:lang w:eastAsia="ru-RU"/>
        </w:rPr>
        <w:t>2</w:t>
      </w:r>
      <w:r w:rsidRPr="009431A8">
        <w:rPr>
          <w:rFonts w:ascii="Arial" w:eastAsia="Times New Roman" w:hAnsi="Arial" w:cs="Arial"/>
          <w:color w:val="0C0C0C"/>
          <w:sz w:val="20"/>
          <w:szCs w:val="20"/>
          <w:lang w:eastAsia="ru-RU"/>
        </w:rPr>
        <w:fldChar w:fldCharType="end"/>
      </w:r>
    </w:p>
    <w:p w:rsidR="009431A8" w:rsidRPr="005E5C19" w:rsidRDefault="009431A8" w:rsidP="005E5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431A8" w:rsidRPr="005E5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C5515"/>
    <w:multiLevelType w:val="hybridMultilevel"/>
    <w:tmpl w:val="C02E58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A9C22FA"/>
    <w:multiLevelType w:val="hybridMultilevel"/>
    <w:tmpl w:val="1346D8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B30F8"/>
    <w:multiLevelType w:val="hybridMultilevel"/>
    <w:tmpl w:val="B90440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2F173F"/>
    <w:multiLevelType w:val="hybridMultilevel"/>
    <w:tmpl w:val="24040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9834AB"/>
    <w:multiLevelType w:val="multilevel"/>
    <w:tmpl w:val="61986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C19"/>
    <w:rsid w:val="002C6DD4"/>
    <w:rsid w:val="005E5C19"/>
    <w:rsid w:val="0094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8FAE2"/>
  <w15:chartTrackingRefBased/>
  <w15:docId w15:val="{9AAB269E-9254-4F60-B526-04B2E3DFD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5C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3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1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23357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56957">
          <w:marLeft w:val="0"/>
          <w:marRight w:val="0"/>
          <w:marTop w:val="0"/>
          <w:marBottom w:val="8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6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1549</Words>
  <Characters>8834</Characters>
  <Application>Microsoft Office Word</Application>
  <DocSecurity>0</DocSecurity>
  <Lines>73</Lines>
  <Paragraphs>20</Paragraphs>
  <ScaleCrop>false</ScaleCrop>
  <Company>SPecialiST RePack</Company>
  <LinksUpToDate>false</LinksUpToDate>
  <CharactersWithSpaces>10363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2021-12-07T07:19:00Z</dcterms:created>
  <dcterms:modified xsi:type="dcterms:W3CDTF">2021-12-07T07:31:00Z</dcterms:modified>
</cp:coreProperties>
</file>